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1A542F48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E3911">
        <w:rPr>
          <w:b/>
          <w:bCs/>
          <w:sz w:val="16"/>
          <w:szCs w:val="16"/>
        </w:rPr>
        <w:t>UPLIFT</w:t>
      </w:r>
      <w:r w:rsidR="00E1346B">
        <w:rPr>
          <w:b/>
          <w:bCs/>
          <w:sz w:val="16"/>
          <w:szCs w:val="16"/>
        </w:rPr>
        <w:t xml:space="preserve"> </w:t>
      </w:r>
      <w:r w:rsidR="005E3911">
        <w:rPr>
          <w:b/>
          <w:bCs/>
          <w:sz w:val="16"/>
          <w:szCs w:val="16"/>
        </w:rPr>
        <w:t>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771D1FE9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BD1E2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BD1E28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5DC95A7C" w:rsidR="001D3809" w:rsidRDefault="00BD1E28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6BCF040" wp14:editId="4580455E">
            <wp:simplePos x="0" y="0"/>
            <wp:positionH relativeFrom="column">
              <wp:posOffset>258445</wp:posOffset>
            </wp:positionH>
            <wp:positionV relativeFrom="paragraph">
              <wp:posOffset>62865</wp:posOffset>
            </wp:positionV>
            <wp:extent cx="540000" cy="540000"/>
            <wp:effectExtent l="0" t="0" r="0" b="0"/>
            <wp:wrapNone/>
            <wp:docPr id="1941357623" name="Image 2" descr="Une image contenant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57623" name="Image 2" descr="Une image contenant symbo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2846832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BD1E28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BD1E28">
        <w:rPr>
          <w:sz w:val="16"/>
          <w:szCs w:val="16"/>
          <w:lang w:val="fr-BE"/>
        </w:rPr>
        <w:t>Toxique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7E519784" w:rsidR="00A66990" w:rsidRPr="00781D19" w:rsidRDefault="00B520DF" w:rsidP="00361F58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361F58" w:rsidRPr="00361F58">
        <w:rPr>
          <w:sz w:val="16"/>
          <w:szCs w:val="16"/>
        </w:rPr>
        <w:t>Iso-E</w:t>
      </w:r>
      <w:r w:rsidR="00361F58">
        <w:rPr>
          <w:sz w:val="16"/>
          <w:szCs w:val="16"/>
        </w:rPr>
        <w:t xml:space="preserve"> </w:t>
      </w:r>
      <w:r w:rsidR="00361F58" w:rsidRPr="00361F58">
        <w:rPr>
          <w:sz w:val="16"/>
          <w:szCs w:val="16"/>
          <w:lang w:val="fr-BE"/>
        </w:rPr>
        <w:t>super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alpha-Hexylcinnamaldehyde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  <w:lang w:val="fr-BE"/>
        </w:rPr>
        <w:t>cyclamen aldehyde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hexyl salicylate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linalool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(R)-p-mentha-1,8-diene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macrolide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dl-Citronellol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benzyl salicylate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mayol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geraniol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4-tert-butylcyclohexyl acetate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tetrahydrolinalool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Nerol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(Z)-3,4,5,6,6-Pentamethylhept-3-en-2-one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  <w:lang w:val="fr-BE"/>
        </w:rPr>
        <w:t>trans-Anethole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  <w:lang w:val="fr-BE"/>
        </w:rPr>
        <w:t>melonal</w:t>
      </w:r>
      <w:r w:rsidR="00361F58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71054CA3" w:rsidR="00CB46B3" w:rsidRDefault="00CB46B3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CB46B3" w:rsidRPr="00D148A7" w14:paraId="5016F3B5" w14:textId="77777777" w:rsidTr="00CB46B3">
        <w:trPr>
          <w:trHeight w:val="486"/>
        </w:trPr>
        <w:tc>
          <w:tcPr>
            <w:tcW w:w="2566" w:type="dxa"/>
          </w:tcPr>
          <w:p w14:paraId="5D1BD9EF" w14:textId="03FC4BB8" w:rsid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alpha-Hexylcinnamaldehyde</w:t>
            </w:r>
          </w:p>
        </w:tc>
        <w:tc>
          <w:tcPr>
            <w:tcW w:w="1414" w:type="dxa"/>
          </w:tcPr>
          <w:p w14:paraId="7CB54DC2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101-86-0</w:t>
            </w:r>
          </w:p>
          <w:p w14:paraId="108495D8" w14:textId="7DB2B697" w:rsidR="00CB46B3" w:rsidRPr="007A7B4B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49754826" w14:textId="0F099556" w:rsidR="00CB46B3" w:rsidRPr="007A7B4B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335DBAFD" w14:textId="25A6DDD4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50D5EF5D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0F9151CA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2DDB45F1" w14:textId="08CCABFC" w:rsidR="00CB46B3" w:rsidRPr="007A7B4B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CB46B3" w:rsidRPr="00155E09" w14:paraId="6C0B6326" w14:textId="77777777" w:rsidTr="00CB46B3">
        <w:trPr>
          <w:trHeight w:val="486"/>
        </w:trPr>
        <w:tc>
          <w:tcPr>
            <w:tcW w:w="2566" w:type="dxa"/>
          </w:tcPr>
          <w:p w14:paraId="2AB3C3FB" w14:textId="447FDEDB" w:rsidR="00CB46B3" w:rsidRPr="00CB46B3" w:rsidRDefault="00CB46B3" w:rsidP="00CB46B3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Méla</w:t>
            </w:r>
            <w:r>
              <w:rPr>
                <w:sz w:val="16"/>
                <w:szCs w:val="16"/>
                <w:lang w:val="fr-BE"/>
              </w:rPr>
              <w:t xml:space="preserve">nge </w:t>
            </w:r>
            <w:r w:rsidRPr="00CB46B3">
              <w:rPr>
                <w:sz w:val="16"/>
                <w:szCs w:val="16"/>
                <w:lang w:val="fr-BE"/>
              </w:rPr>
              <w:t>: (E)-oxacyclohexadec-12-en-2-one (E)-oxacyclohexadec-13-en-2-one a)</w:t>
            </w:r>
          </w:p>
          <w:p w14:paraId="77946E94" w14:textId="2A86D593" w:rsidR="00CB46B3" w:rsidRPr="00CB46B3" w:rsidRDefault="00CB46B3" w:rsidP="00CB46B3">
            <w:pPr>
              <w:rPr>
                <w:sz w:val="16"/>
                <w:szCs w:val="16"/>
              </w:rPr>
            </w:pPr>
            <w:r w:rsidRPr="00CB46B3">
              <w:rPr>
                <w:sz w:val="16"/>
                <w:szCs w:val="16"/>
              </w:rPr>
              <w:t>(Z)-oxacyclohexadec-(12)-en-2-one e</w:t>
            </w:r>
            <w:r>
              <w:rPr>
                <w:sz w:val="16"/>
                <w:szCs w:val="16"/>
              </w:rPr>
              <w:t xml:space="preserve">t </w:t>
            </w:r>
            <w:r w:rsidRPr="00CB46B3">
              <w:rPr>
                <w:sz w:val="16"/>
                <w:szCs w:val="16"/>
              </w:rPr>
              <w:t>b) (Z)-oxacyclohexadec-(13)-en-2-one</w:t>
            </w:r>
          </w:p>
        </w:tc>
        <w:tc>
          <w:tcPr>
            <w:tcW w:w="1414" w:type="dxa"/>
          </w:tcPr>
          <w:p w14:paraId="70674CBF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111879-80-2</w:t>
            </w:r>
          </w:p>
          <w:p w14:paraId="146329D1" w14:textId="7AD519A9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3B47E8C1" w14:textId="02C92D22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422-320-3</w:t>
            </w:r>
          </w:p>
        </w:tc>
        <w:tc>
          <w:tcPr>
            <w:tcW w:w="1360" w:type="dxa"/>
          </w:tcPr>
          <w:p w14:paraId="50B905EF" w14:textId="362C4C75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0.25-1</w:t>
            </w:r>
          </w:p>
        </w:tc>
        <w:tc>
          <w:tcPr>
            <w:tcW w:w="2827" w:type="dxa"/>
          </w:tcPr>
          <w:p w14:paraId="65258926" w14:textId="46C043AB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</w:tc>
      </w:tr>
      <w:tr w:rsidR="00CB46B3" w:rsidRPr="00CB46B3" w14:paraId="1B8664D5" w14:textId="77777777" w:rsidTr="00CB46B3">
        <w:trPr>
          <w:trHeight w:val="486"/>
        </w:trPr>
        <w:tc>
          <w:tcPr>
            <w:tcW w:w="2566" w:type="dxa"/>
          </w:tcPr>
          <w:p w14:paraId="62109617" w14:textId="6A669850" w:rsidR="00CB46B3" w:rsidRPr="00CB46B3" w:rsidRDefault="00CB46B3" w:rsidP="00CB46B3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2-Methyl-3-(p-isopropylphenyl)propionaldehyde (cyclamen aldehyde)</w:t>
            </w:r>
          </w:p>
        </w:tc>
        <w:tc>
          <w:tcPr>
            <w:tcW w:w="1414" w:type="dxa"/>
          </w:tcPr>
          <w:p w14:paraId="529B1199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103-95-7</w:t>
            </w:r>
          </w:p>
          <w:p w14:paraId="315AEBC3" w14:textId="7B144412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081377E7" w14:textId="1698B2E9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203-161-7</w:t>
            </w:r>
          </w:p>
        </w:tc>
        <w:tc>
          <w:tcPr>
            <w:tcW w:w="1360" w:type="dxa"/>
          </w:tcPr>
          <w:p w14:paraId="6DEB8725" w14:textId="43085326" w:rsid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0.25-1</w:t>
            </w:r>
          </w:p>
        </w:tc>
        <w:tc>
          <w:tcPr>
            <w:tcW w:w="2827" w:type="dxa"/>
          </w:tcPr>
          <w:p w14:paraId="4BAC3A24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EBD9656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93C0E6D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3, H412  </w:t>
            </w:r>
          </w:p>
          <w:p w14:paraId="7FAC996A" w14:textId="6E112E7B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CB46B3" w14:paraId="2EA480B1" w14:textId="77777777" w:rsidTr="00CB46B3">
        <w:trPr>
          <w:trHeight w:val="486"/>
        </w:trPr>
        <w:tc>
          <w:tcPr>
            <w:tcW w:w="2566" w:type="dxa"/>
          </w:tcPr>
          <w:p w14:paraId="2AC9DEB7" w14:textId="7397F0E2" w:rsidR="00CB46B3" w:rsidRPr="00CB46B3" w:rsidRDefault="00CB46B3" w:rsidP="00CB46B3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Tricyclodecenyl acetate (verdyl acetate)</w:t>
            </w:r>
          </w:p>
        </w:tc>
        <w:tc>
          <w:tcPr>
            <w:tcW w:w="1414" w:type="dxa"/>
          </w:tcPr>
          <w:p w14:paraId="03E0CA1A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5413-60-5</w:t>
            </w:r>
          </w:p>
          <w:p w14:paraId="1D71EBB9" w14:textId="6104822C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366CD87F" w14:textId="5E579539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226-501-6</w:t>
            </w:r>
          </w:p>
        </w:tc>
        <w:tc>
          <w:tcPr>
            <w:tcW w:w="1360" w:type="dxa"/>
          </w:tcPr>
          <w:p w14:paraId="08BA5423" w14:textId="586D6EDE" w:rsid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0.25-1</w:t>
            </w:r>
          </w:p>
        </w:tc>
        <w:tc>
          <w:tcPr>
            <w:tcW w:w="2827" w:type="dxa"/>
          </w:tcPr>
          <w:p w14:paraId="6F3A6794" w14:textId="6318394F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3, H412  </w:t>
            </w:r>
          </w:p>
        </w:tc>
      </w:tr>
      <w:tr w:rsidR="007A7B4B" w:rsidRPr="00D148A7" w14:paraId="2B4A2570" w14:textId="77777777" w:rsidTr="00CB46B3">
        <w:trPr>
          <w:trHeight w:val="486"/>
        </w:trPr>
        <w:tc>
          <w:tcPr>
            <w:tcW w:w="2566" w:type="dxa"/>
          </w:tcPr>
          <w:p w14:paraId="52F09D20" w14:textId="11812BCE" w:rsidR="007A7B4B" w:rsidRPr="006A284A" w:rsidRDefault="007A7B4B" w:rsidP="006A28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acetate</w:t>
            </w:r>
          </w:p>
        </w:tc>
        <w:tc>
          <w:tcPr>
            <w:tcW w:w="1414" w:type="dxa"/>
          </w:tcPr>
          <w:p w14:paraId="3D425C92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140-11-4</w:t>
            </w:r>
          </w:p>
          <w:p w14:paraId="73C8ABFD" w14:textId="043599AB" w:rsidR="007A7B4B" w:rsidRPr="006A284A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47B012B" w14:textId="4BB89B96" w:rsidR="007A7B4B" w:rsidRPr="006A284A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0" w:type="dxa"/>
          </w:tcPr>
          <w:p w14:paraId="2DE8BCFE" w14:textId="30587832" w:rsidR="007A7B4B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7" w:type="dxa"/>
          </w:tcPr>
          <w:p w14:paraId="54A7252D" w14:textId="03545E34" w:rsidR="007A7B4B" w:rsidRPr="006A284A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3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</w:tc>
      </w:tr>
      <w:tr w:rsidR="00CB46B3" w:rsidRPr="007A7B4B" w14:paraId="140EFB56" w14:textId="77777777" w:rsidTr="00707207">
        <w:trPr>
          <w:trHeight w:val="486"/>
        </w:trPr>
        <w:tc>
          <w:tcPr>
            <w:tcW w:w="2566" w:type="dxa"/>
          </w:tcPr>
          <w:p w14:paraId="67CD5C63" w14:textId="77777777" w:rsidR="00CB46B3" w:rsidRPr="007A7B4B" w:rsidRDefault="00CB46B3" w:rsidP="00707207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hexyl salicylate</w:t>
            </w:r>
          </w:p>
        </w:tc>
        <w:tc>
          <w:tcPr>
            <w:tcW w:w="1414" w:type="dxa"/>
          </w:tcPr>
          <w:p w14:paraId="4C5E2B3D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6259-76-3</w:t>
            </w:r>
          </w:p>
          <w:p w14:paraId="53ADA4DE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479AAD18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228-408-6</w:t>
            </w:r>
          </w:p>
        </w:tc>
        <w:tc>
          <w:tcPr>
            <w:tcW w:w="1360" w:type="dxa"/>
          </w:tcPr>
          <w:p w14:paraId="13EF4065" w14:textId="6DD21AA6" w:rsidR="00CB46B3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0.3-1</w:t>
            </w:r>
          </w:p>
        </w:tc>
        <w:tc>
          <w:tcPr>
            <w:tcW w:w="2827" w:type="dxa"/>
          </w:tcPr>
          <w:p w14:paraId="5C8631E4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Repr. 2; H361</w:t>
            </w:r>
          </w:p>
          <w:p w14:paraId="2334D172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3C53BF2E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3DA2D76" w14:textId="77777777" w:rsidR="00CB46B3" w:rsidRPr="007A7B4B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CB46B3" w:rsidRPr="00D148A7" w14:paraId="039F9F27" w14:textId="77777777" w:rsidTr="00CB46B3">
        <w:trPr>
          <w:trHeight w:val="486"/>
        </w:trPr>
        <w:tc>
          <w:tcPr>
            <w:tcW w:w="2566" w:type="dxa"/>
          </w:tcPr>
          <w:p w14:paraId="348696B7" w14:textId="7DF64B92" w:rsid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741A67B7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2A50AFF1" w14:textId="68199066" w:rsidR="00CB46B3" w:rsidRPr="007A7B4B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47A72A2" w14:textId="41EE254B" w:rsidR="00CB46B3" w:rsidRPr="007A7B4B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188CB900" w14:textId="59A37EF0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575E1F3D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95B1B92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7DA805C2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>Eye Irrit. 2 ; H319</w:t>
            </w:r>
          </w:p>
          <w:p w14:paraId="69A1EA1F" w14:textId="6F37D34A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CB46B3" w14:paraId="631CAD0F" w14:textId="77777777" w:rsidTr="00CB46B3">
        <w:trPr>
          <w:trHeight w:val="486"/>
        </w:trPr>
        <w:tc>
          <w:tcPr>
            <w:tcW w:w="2566" w:type="dxa"/>
          </w:tcPr>
          <w:p w14:paraId="6C217662" w14:textId="57C5C4AC" w:rsidR="00CB46B3" w:rsidRP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(R)-p-mentha-1,8-diene</w:t>
            </w:r>
          </w:p>
        </w:tc>
        <w:tc>
          <w:tcPr>
            <w:tcW w:w="1414" w:type="dxa"/>
          </w:tcPr>
          <w:p w14:paraId="69642F5A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5989-27-5</w:t>
            </w:r>
          </w:p>
          <w:p w14:paraId="5AC76DA9" w14:textId="74349190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2FC6C124" w14:textId="4EC4EFE9" w:rsidR="00CB46B3" w:rsidRPr="00CB46B3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76EC4643" w14:textId="20EA2C9A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6DBF71E4" w14:textId="77777777" w:rsidR="00CB46B3" w:rsidRPr="00155E09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55E09">
              <w:rPr>
                <w:rFonts w:ascii="Arial MT" w:eastAsia="Arial MT" w:hAnsi="Arial MT" w:cs="Arial MT"/>
                <w:sz w:val="16"/>
                <w:lang w:val="en-GB"/>
              </w:rPr>
              <w:t>Flam. Liq. 3 ; H226</w:t>
            </w:r>
          </w:p>
          <w:p w14:paraId="79D0F9BB" w14:textId="77777777" w:rsidR="00CB46B3" w:rsidRPr="00155E09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55E09">
              <w:rPr>
                <w:rFonts w:ascii="Arial MT" w:eastAsia="Arial MT" w:hAnsi="Arial MT" w:cs="Arial MT"/>
                <w:sz w:val="16"/>
                <w:lang w:val="en-GB"/>
              </w:rPr>
              <w:t>Asp ? Tox. 1 ; H304</w:t>
            </w:r>
          </w:p>
          <w:p w14:paraId="4A8354BC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0688E53E" w14:textId="2B567EC0" w:rsidR="00CB46B3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GB"/>
              </w:rPr>
              <w:lastRenderedPageBreak/>
              <w:t>Aquatic Chronic 1, H410</w:t>
            </w:r>
          </w:p>
          <w:p w14:paraId="7FA56728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55E09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53FDD1A1" w14:textId="077364B8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61505D6B" w14:textId="3E3AA032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155E09" w14:paraId="1967E6A5" w14:textId="77777777" w:rsidTr="00CB46B3">
        <w:trPr>
          <w:trHeight w:val="486"/>
        </w:trPr>
        <w:tc>
          <w:tcPr>
            <w:tcW w:w="2566" w:type="dxa"/>
          </w:tcPr>
          <w:p w14:paraId="3AD771AA" w14:textId="4B3608D2" w:rsidR="00CB46B3" w:rsidRPr="00CB46B3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lastRenderedPageBreak/>
              <w:t>Pentadecan-15-olide (macrolide)</w:t>
            </w:r>
          </w:p>
        </w:tc>
        <w:tc>
          <w:tcPr>
            <w:tcW w:w="1414" w:type="dxa"/>
          </w:tcPr>
          <w:p w14:paraId="0F33E185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106-02-5</w:t>
            </w:r>
          </w:p>
          <w:p w14:paraId="76304AB7" w14:textId="3369BF3B" w:rsidR="00CB46B3" w:rsidRPr="00CB46B3" w:rsidRDefault="00CB46B3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5AF4505" w14:textId="596283DE" w:rsidR="00CB46B3" w:rsidRPr="00CB46B3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203-354-6</w:t>
            </w:r>
          </w:p>
        </w:tc>
        <w:tc>
          <w:tcPr>
            <w:tcW w:w="1360" w:type="dxa"/>
          </w:tcPr>
          <w:p w14:paraId="1FF79215" w14:textId="222B2AFA" w:rsidR="00CB46B3" w:rsidRDefault="003E199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502B3B37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77ABEB1E" w14:textId="258B8A45" w:rsidR="00CB46B3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</w:tc>
      </w:tr>
      <w:tr w:rsidR="003E199D" w:rsidRPr="003E199D" w14:paraId="416AC818" w14:textId="77777777" w:rsidTr="00CB46B3">
        <w:trPr>
          <w:trHeight w:val="486"/>
        </w:trPr>
        <w:tc>
          <w:tcPr>
            <w:tcW w:w="2566" w:type="dxa"/>
          </w:tcPr>
          <w:p w14:paraId="381EAA10" w14:textId="24BC6705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Amyl salicylate</w:t>
            </w:r>
          </w:p>
        </w:tc>
        <w:tc>
          <w:tcPr>
            <w:tcW w:w="1414" w:type="dxa"/>
          </w:tcPr>
          <w:p w14:paraId="702F51A3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2050-08-0</w:t>
            </w:r>
          </w:p>
          <w:p w14:paraId="0B6EF478" w14:textId="5F5B4ECD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AA54C1A" w14:textId="3CDF58B8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7265573C" w14:textId="15510561" w:rsidR="003E199D" w:rsidRDefault="003E199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27" w:type="dxa"/>
          </w:tcPr>
          <w:p w14:paraId="2697CD1B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28A43FC7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0755B14E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34D0982D" w14:textId="402F8D42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3E199D" w:rsidRPr="003E199D" w14:paraId="28D86CBF" w14:textId="77777777" w:rsidTr="00CB46B3">
        <w:trPr>
          <w:trHeight w:val="486"/>
        </w:trPr>
        <w:tc>
          <w:tcPr>
            <w:tcW w:w="2566" w:type="dxa"/>
          </w:tcPr>
          <w:p w14:paraId="1CCDE03D" w14:textId="4B351883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dl-Citronellol</w:t>
            </w:r>
          </w:p>
        </w:tc>
        <w:tc>
          <w:tcPr>
            <w:tcW w:w="1414" w:type="dxa"/>
          </w:tcPr>
          <w:p w14:paraId="1C6C88C7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106-22-9</w:t>
            </w:r>
          </w:p>
          <w:p w14:paraId="21203338" w14:textId="32099DB8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6B59A184" w14:textId="22625954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68962B4E" w14:textId="7F2FE3B9" w:rsidR="003E199D" w:rsidRDefault="003E199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22BCAA79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AE4A452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4EB5CBB8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Eye Irrit. 2 ; H319</w:t>
            </w:r>
          </w:p>
          <w:p w14:paraId="64082DF8" w14:textId="7080B8C0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3E199D" w:rsidRPr="003E199D" w14:paraId="36C0F1B2" w14:textId="77777777" w:rsidTr="00CB46B3">
        <w:trPr>
          <w:trHeight w:val="486"/>
        </w:trPr>
        <w:tc>
          <w:tcPr>
            <w:tcW w:w="2566" w:type="dxa"/>
          </w:tcPr>
          <w:p w14:paraId="64FD0373" w14:textId="6EE7776C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benzyl salicylate</w:t>
            </w:r>
          </w:p>
        </w:tc>
        <w:tc>
          <w:tcPr>
            <w:tcW w:w="1414" w:type="dxa"/>
          </w:tcPr>
          <w:p w14:paraId="618240CE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118-58-1</w:t>
            </w:r>
          </w:p>
          <w:p w14:paraId="597A48A3" w14:textId="17E0A056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43418AB4" w14:textId="60A0E791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4472EE09" w14:textId="4A6657C6" w:rsidR="003E199D" w:rsidRDefault="003E199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0EE5E571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64B9EA49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Eye Irrit. 2 ; H319</w:t>
            </w:r>
          </w:p>
          <w:p w14:paraId="61A3671C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3, H412  </w:t>
            </w:r>
          </w:p>
          <w:p w14:paraId="0822B686" w14:textId="2E6F4436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3E199D" w:rsidRPr="00D91BBA" w14:paraId="63FE08E2" w14:textId="77777777" w:rsidTr="00CB46B3">
        <w:trPr>
          <w:trHeight w:val="486"/>
        </w:trPr>
        <w:tc>
          <w:tcPr>
            <w:tcW w:w="2566" w:type="dxa"/>
          </w:tcPr>
          <w:p w14:paraId="7597796C" w14:textId="09E8052D" w:rsidR="003E199D" w:rsidRPr="003E199D" w:rsidRDefault="00D91BBA" w:rsidP="006A284A">
            <w:pPr>
              <w:rPr>
                <w:sz w:val="16"/>
                <w:szCs w:val="16"/>
                <w:lang w:val="en-GB"/>
              </w:rPr>
            </w:pPr>
            <w:r w:rsidRPr="00D91BBA">
              <w:rPr>
                <w:sz w:val="16"/>
                <w:szCs w:val="16"/>
                <w:lang w:val="en-GB"/>
              </w:rPr>
              <w:t>cis-4-(isopropyl)cyclohexanemethanol (mayol)</w:t>
            </w:r>
          </w:p>
        </w:tc>
        <w:tc>
          <w:tcPr>
            <w:tcW w:w="1414" w:type="dxa"/>
          </w:tcPr>
          <w:p w14:paraId="3F76FB2C" w14:textId="77777777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13828-37-0</w:t>
            </w:r>
          </w:p>
          <w:p w14:paraId="4F1A26FC" w14:textId="1FA796CF" w:rsidR="003E199D" w:rsidRPr="003E199D" w:rsidRDefault="003E199D" w:rsidP="00D91B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9566A0A" w14:textId="60B5205E" w:rsidR="003E199D" w:rsidRPr="003E199D" w:rsidRDefault="00D91B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237-539-8</w:t>
            </w:r>
          </w:p>
        </w:tc>
        <w:tc>
          <w:tcPr>
            <w:tcW w:w="1360" w:type="dxa"/>
          </w:tcPr>
          <w:p w14:paraId="432EC8F7" w14:textId="473700CB" w:rsidR="003E199D" w:rsidRDefault="00D91BBA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7" w:type="dxa"/>
          </w:tcPr>
          <w:p w14:paraId="7F288C5D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74E08292" w14:textId="519DC0BF" w:rsidR="003E199D" w:rsidRPr="003E199D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</w:tc>
      </w:tr>
      <w:tr w:rsidR="00D91BBA" w:rsidRPr="00D91BBA" w14:paraId="3C039DAB" w14:textId="77777777" w:rsidTr="00CB46B3">
        <w:trPr>
          <w:trHeight w:val="486"/>
        </w:trPr>
        <w:tc>
          <w:tcPr>
            <w:tcW w:w="2566" w:type="dxa"/>
          </w:tcPr>
          <w:p w14:paraId="0145600E" w14:textId="2DE1809B" w:rsidR="00D91BBA" w:rsidRPr="00D91BBA" w:rsidRDefault="00D91BBA" w:rsidP="006A284A">
            <w:pPr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geraniol</w:t>
            </w:r>
          </w:p>
        </w:tc>
        <w:tc>
          <w:tcPr>
            <w:tcW w:w="1414" w:type="dxa"/>
          </w:tcPr>
          <w:p w14:paraId="6F4B4DF1" w14:textId="77777777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106-24-1</w:t>
            </w:r>
          </w:p>
          <w:p w14:paraId="5D82981B" w14:textId="4D47975B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612254A" w14:textId="017DAC4C" w:rsidR="00D91BBA" w:rsidRPr="00D91BBA" w:rsidRDefault="00D91B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0" w:type="dxa"/>
          </w:tcPr>
          <w:p w14:paraId="312D7940" w14:textId="4B816469" w:rsidR="00D91BBA" w:rsidRDefault="00D91BBA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3010F376" w14:textId="77777777" w:rsidR="00D91BBA" w:rsidRDefault="00D91BBA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>Eye Dam. 1 ; H318</w:t>
            </w:r>
          </w:p>
          <w:p w14:paraId="08D36C11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3B0A80A6" w14:textId="77777777" w:rsid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38915F59" w14:textId="31E5719D" w:rsidR="00D91BBA" w:rsidRPr="003E199D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91BBA" w:rsidRPr="00D148A7" w14:paraId="091D321C" w14:textId="77777777" w:rsidTr="00707207">
        <w:trPr>
          <w:trHeight w:val="486"/>
        </w:trPr>
        <w:tc>
          <w:tcPr>
            <w:tcW w:w="2566" w:type="dxa"/>
          </w:tcPr>
          <w:p w14:paraId="590577F4" w14:textId="77777777" w:rsidR="00D91BBA" w:rsidRPr="007A7B4B" w:rsidRDefault="00D91BBA" w:rsidP="00707207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4-tert-butylcyclohexyl acetate</w:t>
            </w:r>
          </w:p>
        </w:tc>
        <w:tc>
          <w:tcPr>
            <w:tcW w:w="1414" w:type="dxa"/>
          </w:tcPr>
          <w:p w14:paraId="41D7C2ED" w14:textId="77777777" w:rsidR="00D91BBA" w:rsidRPr="007A7B4B" w:rsidRDefault="00D91BBA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32210-23-4</w:t>
            </w:r>
          </w:p>
          <w:p w14:paraId="0D5DDE89" w14:textId="77777777" w:rsidR="00D91BBA" w:rsidRPr="007A7B4B" w:rsidRDefault="00D91BBA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652ED87A" w14:textId="77777777" w:rsidR="00D91BBA" w:rsidRPr="007A7B4B" w:rsidRDefault="00D91BBA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0" w:type="dxa"/>
          </w:tcPr>
          <w:p w14:paraId="5133AEB0" w14:textId="30AC891A" w:rsidR="00D91BBA" w:rsidRDefault="00D91BBA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46C18522" w14:textId="77777777" w:rsidR="00D91BBA" w:rsidRPr="007A7B4B" w:rsidRDefault="00D91BBA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D91BBA" w:rsidRPr="00D91BBA" w14:paraId="02082FD6" w14:textId="77777777" w:rsidTr="00CB46B3">
        <w:trPr>
          <w:trHeight w:val="486"/>
        </w:trPr>
        <w:tc>
          <w:tcPr>
            <w:tcW w:w="2566" w:type="dxa"/>
          </w:tcPr>
          <w:p w14:paraId="6521278A" w14:textId="1E57C35E" w:rsidR="00D91BBA" w:rsidRPr="00361F58" w:rsidRDefault="00D91BBA" w:rsidP="006A284A">
            <w:pPr>
              <w:rPr>
                <w:sz w:val="16"/>
                <w:szCs w:val="16"/>
                <w:lang w:val="en-GB"/>
              </w:rPr>
            </w:pPr>
            <w:r w:rsidRPr="00D91BBA">
              <w:rPr>
                <w:sz w:val="16"/>
                <w:szCs w:val="16"/>
                <w:lang w:val="fr-BE"/>
              </w:rPr>
              <w:t>tetrahydrolinalool</w:t>
            </w:r>
          </w:p>
        </w:tc>
        <w:tc>
          <w:tcPr>
            <w:tcW w:w="1414" w:type="dxa"/>
          </w:tcPr>
          <w:p w14:paraId="0A4204F4" w14:textId="77777777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78-69-3</w:t>
            </w:r>
          </w:p>
          <w:p w14:paraId="43F6D584" w14:textId="3F6E6F4F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6F69F082" w14:textId="3CC3D27A" w:rsidR="00D91BBA" w:rsidRPr="00D91BBA" w:rsidRDefault="00D91B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201-133-9</w:t>
            </w:r>
          </w:p>
        </w:tc>
        <w:tc>
          <w:tcPr>
            <w:tcW w:w="1360" w:type="dxa"/>
          </w:tcPr>
          <w:p w14:paraId="4E3C96F9" w14:textId="3356F40C" w:rsidR="00D91BBA" w:rsidRDefault="00D91BBA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4E727499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17EFFED5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2E02593A" w14:textId="77777777" w:rsid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Eye Irrit. 2 ; H319</w:t>
            </w:r>
          </w:p>
          <w:p w14:paraId="0578B018" w14:textId="6D0FDE69" w:rsid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91BBA" w:rsidRPr="00D91BBA" w14:paraId="5D0DA231" w14:textId="77777777" w:rsidTr="00CB46B3">
        <w:trPr>
          <w:trHeight w:val="486"/>
        </w:trPr>
        <w:tc>
          <w:tcPr>
            <w:tcW w:w="2566" w:type="dxa"/>
          </w:tcPr>
          <w:p w14:paraId="5410478A" w14:textId="227DBDC4" w:rsidR="00D91BBA" w:rsidRPr="00D91BBA" w:rsidRDefault="00D91BBA" w:rsidP="006A284A">
            <w:pPr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Nerol</w:t>
            </w:r>
          </w:p>
        </w:tc>
        <w:tc>
          <w:tcPr>
            <w:tcW w:w="1414" w:type="dxa"/>
          </w:tcPr>
          <w:p w14:paraId="786D4B34" w14:textId="77777777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106-25-2</w:t>
            </w:r>
          </w:p>
          <w:p w14:paraId="0F956ACD" w14:textId="2A3E7FE2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22F0300" w14:textId="52A54B16" w:rsidR="00D91BBA" w:rsidRPr="00D91BBA" w:rsidRDefault="00D91B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203-378-7</w:t>
            </w:r>
          </w:p>
        </w:tc>
        <w:tc>
          <w:tcPr>
            <w:tcW w:w="1360" w:type="dxa"/>
          </w:tcPr>
          <w:p w14:paraId="1093109D" w14:textId="4C51ADB5" w:rsidR="00D91BBA" w:rsidRDefault="00D91BBA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71FE5FD9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Irrit. 2;H315</w:t>
            </w:r>
          </w:p>
          <w:p w14:paraId="46AFF441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50E32023" w14:textId="77777777" w:rsid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Eye Irrit. 2 ; H319</w:t>
            </w:r>
          </w:p>
          <w:p w14:paraId="74F10304" w14:textId="673A3528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91BBA" w:rsidRPr="00D91BBA" w14:paraId="32A1460A" w14:textId="77777777" w:rsidTr="00CB46B3">
        <w:trPr>
          <w:trHeight w:val="486"/>
        </w:trPr>
        <w:tc>
          <w:tcPr>
            <w:tcW w:w="2566" w:type="dxa"/>
          </w:tcPr>
          <w:p w14:paraId="34ACA15D" w14:textId="3090B1CE" w:rsidR="00D91BBA" w:rsidRPr="00D91BBA" w:rsidRDefault="00D91BBA" w:rsidP="006A284A">
            <w:pPr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Ethyl safranate</w:t>
            </w:r>
          </w:p>
        </w:tc>
        <w:tc>
          <w:tcPr>
            <w:tcW w:w="1414" w:type="dxa"/>
          </w:tcPr>
          <w:p w14:paraId="7E1ADE1A" w14:textId="77777777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35044-57-6</w:t>
            </w:r>
          </w:p>
          <w:p w14:paraId="5DB72FFF" w14:textId="29667200" w:rsidR="00D91BBA" w:rsidRPr="00D91BBA" w:rsidRDefault="00D91BBA" w:rsidP="00F841B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57B920DA" w14:textId="090F4212" w:rsidR="00D91BBA" w:rsidRPr="00D91BBA" w:rsidRDefault="00F841B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252-333-8</w:t>
            </w:r>
          </w:p>
        </w:tc>
        <w:tc>
          <w:tcPr>
            <w:tcW w:w="1360" w:type="dxa"/>
          </w:tcPr>
          <w:p w14:paraId="742E3584" w14:textId="539878E7" w:rsidR="00D91BBA" w:rsidRDefault="00D91BBA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2BC7FF7E" w14:textId="6CC059B2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 xml:space="preserve">Aquatic Chronic 3, H412  </w:t>
            </w:r>
          </w:p>
        </w:tc>
      </w:tr>
      <w:tr w:rsidR="00F841BD" w:rsidRPr="00155E09" w14:paraId="18E6FC13" w14:textId="77777777" w:rsidTr="00CB46B3">
        <w:trPr>
          <w:trHeight w:val="486"/>
        </w:trPr>
        <w:tc>
          <w:tcPr>
            <w:tcW w:w="2566" w:type="dxa"/>
          </w:tcPr>
          <w:p w14:paraId="5A5DCDB4" w14:textId="0050A23D" w:rsidR="00F841BD" w:rsidRPr="00D91BBA" w:rsidRDefault="00F841BD" w:rsidP="006A284A">
            <w:pPr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(Z)-3,4,5,6,6-Pentamethylhept-3-en-2-one</w:t>
            </w:r>
          </w:p>
        </w:tc>
        <w:tc>
          <w:tcPr>
            <w:tcW w:w="1414" w:type="dxa"/>
          </w:tcPr>
          <w:p w14:paraId="0EF152BF" w14:textId="77777777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81786-73-4</w:t>
            </w:r>
          </w:p>
          <w:p w14:paraId="5BA96747" w14:textId="19F87BBC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0CEBF66C" w14:textId="49D20AE3" w:rsidR="00F841BD" w:rsidRPr="00F841BD" w:rsidRDefault="00F841B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279-822-9</w:t>
            </w:r>
          </w:p>
        </w:tc>
        <w:tc>
          <w:tcPr>
            <w:tcW w:w="1360" w:type="dxa"/>
          </w:tcPr>
          <w:p w14:paraId="535948BA" w14:textId="1FD074E8" w:rsidR="00F841BD" w:rsidRDefault="00F841B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7" w:type="dxa"/>
          </w:tcPr>
          <w:p w14:paraId="0E95D7C2" w14:textId="77777777" w:rsidR="00F841BD" w:rsidRPr="00F841BD" w:rsidRDefault="00F841BD" w:rsidP="00F841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2347E9F4" w14:textId="2582E79F" w:rsidR="00F841BD" w:rsidRPr="00F841BD" w:rsidRDefault="00F841BD" w:rsidP="00F841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</w:tc>
      </w:tr>
      <w:tr w:rsidR="00F841BD" w:rsidRPr="00155E09" w14:paraId="5EB7B7DA" w14:textId="77777777" w:rsidTr="00CB46B3">
        <w:trPr>
          <w:trHeight w:val="486"/>
        </w:trPr>
        <w:tc>
          <w:tcPr>
            <w:tcW w:w="2566" w:type="dxa"/>
          </w:tcPr>
          <w:p w14:paraId="455C0DD2" w14:textId="7BB954D6" w:rsidR="00F841BD" w:rsidRPr="00F841BD" w:rsidRDefault="00F841BD" w:rsidP="006A284A">
            <w:pPr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trans-Anethole</w:t>
            </w:r>
          </w:p>
        </w:tc>
        <w:tc>
          <w:tcPr>
            <w:tcW w:w="1414" w:type="dxa"/>
          </w:tcPr>
          <w:p w14:paraId="6A9E11A7" w14:textId="77777777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4180-23-8</w:t>
            </w:r>
          </w:p>
          <w:p w14:paraId="778B0B93" w14:textId="6F3A34F3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2C4801E3" w14:textId="4E92C270" w:rsidR="00F841BD" w:rsidRPr="00F841BD" w:rsidRDefault="00F841B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224-052-0</w:t>
            </w:r>
          </w:p>
        </w:tc>
        <w:tc>
          <w:tcPr>
            <w:tcW w:w="1360" w:type="dxa"/>
          </w:tcPr>
          <w:p w14:paraId="617D2220" w14:textId="1CB8C7F3" w:rsidR="00F841BD" w:rsidRDefault="00F841B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3544319E" w14:textId="77777777" w:rsidR="00F841BD" w:rsidRDefault="00F841BD" w:rsidP="00F841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18931C77" w14:textId="72C7C96C" w:rsidR="00F841BD" w:rsidRPr="00F841BD" w:rsidRDefault="00F841BD" w:rsidP="00F841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3, H412  </w:t>
            </w:r>
          </w:p>
        </w:tc>
      </w:tr>
      <w:tr w:rsidR="00F841BD" w:rsidRPr="00F841BD" w14:paraId="01A7739D" w14:textId="77777777" w:rsidTr="00CB46B3">
        <w:trPr>
          <w:trHeight w:val="486"/>
        </w:trPr>
        <w:tc>
          <w:tcPr>
            <w:tcW w:w="2566" w:type="dxa"/>
          </w:tcPr>
          <w:p w14:paraId="669DC028" w14:textId="0A827162" w:rsidR="00F841BD" w:rsidRPr="00F841BD" w:rsidRDefault="00F841BD" w:rsidP="006A284A">
            <w:pPr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2,6-Dimethyl-5-heptenal (melonal)</w:t>
            </w:r>
          </w:p>
        </w:tc>
        <w:tc>
          <w:tcPr>
            <w:tcW w:w="1414" w:type="dxa"/>
          </w:tcPr>
          <w:p w14:paraId="4DF2BB08" w14:textId="77777777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106-72-9</w:t>
            </w:r>
          </w:p>
          <w:p w14:paraId="4CE19D51" w14:textId="6791ACE3" w:rsidR="00F841BD" w:rsidRPr="00F841BD" w:rsidRDefault="00F841BD" w:rsidP="00F841B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065CFDA7" w14:textId="209DFA22" w:rsidR="00F841BD" w:rsidRPr="00F841BD" w:rsidRDefault="00F841B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F841BD">
              <w:rPr>
                <w:sz w:val="16"/>
                <w:szCs w:val="16"/>
                <w:lang w:val="fr-BE"/>
              </w:rPr>
              <w:t>203-427-2</w:t>
            </w:r>
          </w:p>
        </w:tc>
        <w:tc>
          <w:tcPr>
            <w:tcW w:w="1360" w:type="dxa"/>
          </w:tcPr>
          <w:p w14:paraId="387B9F40" w14:textId="7381FD83" w:rsidR="00F841BD" w:rsidRDefault="00F841B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7" w:type="dxa"/>
          </w:tcPr>
          <w:p w14:paraId="79991AD6" w14:textId="3BF73B88" w:rsidR="00F841BD" w:rsidRPr="00F841BD" w:rsidRDefault="00F841BD" w:rsidP="00F841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B</w:t>
            </w:r>
            <w:r w:rsidRPr="00F841BD">
              <w:rPr>
                <w:rFonts w:ascii="Arial MT" w:eastAsia="Arial MT" w:hAnsi="Arial MT" w:cs="Arial MT"/>
                <w:sz w:val="16"/>
                <w:lang w:val="en-GB"/>
              </w:rPr>
              <w:t>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CB727E9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BD1E28">
              <w:rPr>
                <w:sz w:val="16"/>
                <w:szCs w:val="16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798B5A4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155E09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2BE7CA36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984" w:type="dxa"/>
          </w:tcPr>
          <w:p w14:paraId="27F55618" w14:textId="02D9E23D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BD1E28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5" w:type="dxa"/>
          </w:tcPr>
          <w:p w14:paraId="09F4AC5E" w14:textId="61E5AC84" w:rsidR="00EE02F2" w:rsidRPr="002B2844" w:rsidRDefault="00BD1E28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BD1E28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55E09" w14:paraId="3B2026C4" w14:textId="77777777" w:rsidTr="00136A57">
        <w:tc>
          <w:tcPr>
            <w:tcW w:w="1980" w:type="dxa"/>
          </w:tcPr>
          <w:p w14:paraId="244F9D81" w14:textId="1C054631" w:rsidR="00BD1E28" w:rsidRPr="00BD1E28" w:rsidRDefault="00BD1E28" w:rsidP="00BD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Dangereux pour l’environement </w:t>
            </w:r>
            <w:r w:rsidRPr="00BD1E28">
              <w:rPr>
                <w:sz w:val="16"/>
                <w:szCs w:val="16"/>
              </w:rPr>
              <w:t>, N.O.S. ((R)-pmentha-</w:t>
            </w:r>
          </w:p>
          <w:p w14:paraId="1D5A1816" w14:textId="77777777" w:rsidR="00BD1E28" w:rsidRPr="00155E09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155E09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07BDA9FB" w14:textId="245ABCA4" w:rsidR="002B2844" w:rsidRPr="00155E09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155E09">
              <w:rPr>
                <w:sz w:val="16"/>
                <w:szCs w:val="16"/>
                <w:lang w:val="en-GB"/>
              </w:rPr>
              <w:t>naphthalenyl)ethanone (Iso-E super))</w:t>
            </w:r>
          </w:p>
        </w:tc>
        <w:tc>
          <w:tcPr>
            <w:tcW w:w="1984" w:type="dxa"/>
          </w:tcPr>
          <w:p w14:paraId="30052074" w14:textId="77777777" w:rsidR="00BD1E28" w:rsidRPr="00BD1E28" w:rsidRDefault="00BD1E28" w:rsidP="00BD1E28">
            <w:pPr>
              <w:jc w:val="center"/>
              <w:rPr>
                <w:sz w:val="16"/>
                <w:szCs w:val="16"/>
              </w:rPr>
            </w:pPr>
            <w:r w:rsidRPr="00BD1E28">
              <w:rPr>
                <w:sz w:val="16"/>
                <w:szCs w:val="16"/>
              </w:rPr>
              <w:t>Dangereux pour l’environement , N.O.S. ((R)-pmentha-</w:t>
            </w:r>
          </w:p>
          <w:p w14:paraId="4FBACE91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122EB477" w14:textId="4C937501" w:rsidR="002B2844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naphthalenyl)ethanone (Iso-E super))</w:t>
            </w:r>
          </w:p>
        </w:tc>
        <w:tc>
          <w:tcPr>
            <w:tcW w:w="1845" w:type="dxa"/>
          </w:tcPr>
          <w:p w14:paraId="56B71E15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fr-BE"/>
              </w:rPr>
            </w:pPr>
            <w:r w:rsidRPr="00BD1E28">
              <w:rPr>
                <w:sz w:val="16"/>
                <w:szCs w:val="16"/>
                <w:lang w:val="fr-BE"/>
              </w:rPr>
              <w:t>Dangereux pour l’environement , N.O.S. ((R)-pmentha-</w:t>
            </w:r>
          </w:p>
          <w:p w14:paraId="4A09EFE2" w14:textId="77777777" w:rsidR="00BD1E28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1,8-diene, 1-(1,2,3,4,5,6,7,8-Octahydro-2,3,8,8-tetramethyl-2-</w:t>
            </w:r>
          </w:p>
          <w:p w14:paraId="24CDE823" w14:textId="7A448C49" w:rsidR="002B2844" w:rsidRPr="00BD1E28" w:rsidRDefault="00BD1E28" w:rsidP="00BD1E28">
            <w:pPr>
              <w:jc w:val="center"/>
              <w:rPr>
                <w:sz w:val="16"/>
                <w:szCs w:val="16"/>
                <w:lang w:val="en-GB"/>
              </w:rPr>
            </w:pPr>
            <w:r w:rsidRPr="00BD1E28">
              <w:rPr>
                <w:sz w:val="16"/>
                <w:szCs w:val="16"/>
                <w:lang w:val="en-GB"/>
              </w:rPr>
              <w:t>naphthalenyl)ethanone (Iso-E super))</w:t>
            </w: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210DDF5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984" w:type="dxa"/>
          </w:tcPr>
          <w:p w14:paraId="543B1571" w14:textId="3012EC90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5" w:type="dxa"/>
          </w:tcPr>
          <w:p w14:paraId="79B2835D" w14:textId="6FA4A4E8" w:rsidR="002B2844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A574CCC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2FF92A7B" w14:textId="2229F2F8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5" w:type="dxa"/>
          </w:tcPr>
          <w:p w14:paraId="04DF7C11" w14:textId="3E5AEB29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6DCC01C3" w:rsidR="00AE2DF0" w:rsidRDefault="00BD1E28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D1E28" w14:paraId="3357D157" w14:textId="77777777" w:rsidTr="006D500A">
        <w:tc>
          <w:tcPr>
            <w:tcW w:w="988" w:type="dxa"/>
          </w:tcPr>
          <w:p w14:paraId="489B48A3" w14:textId="53EFD68B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83E79B3" w14:textId="6195CC15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48BEB878" w14:textId="77777777" w:rsidR="00BD1E28" w:rsidRDefault="00BD1E28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5FCF6B64" w14:textId="6E4FF300" w:rsidR="00BD1E28" w:rsidRDefault="00BD1E28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D1E28" w14:paraId="031A5C45" w14:textId="77777777" w:rsidTr="006D500A">
        <w:tc>
          <w:tcPr>
            <w:tcW w:w="988" w:type="dxa"/>
          </w:tcPr>
          <w:p w14:paraId="34CB3728" w14:textId="4323548F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30FC7E7" w14:textId="797B6C9D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1FD18FA4" w14:textId="77777777" w:rsidR="00BD1E28" w:rsidRDefault="00BD1E28" w:rsidP="00F37336">
            <w:pPr>
              <w:rPr>
                <w:sz w:val="16"/>
                <w:szCs w:val="16"/>
              </w:rPr>
            </w:pPr>
            <w:r w:rsidRPr="00BD1E28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F74E8F9" w14:textId="3AEF297F" w:rsidR="00BD1E28" w:rsidRDefault="00BD1E28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>Susceptible de nuire à la fertilité ou au foetus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553C" w14:textId="77777777" w:rsidR="00AA5343" w:rsidRDefault="00AA5343" w:rsidP="001F4281">
      <w:r>
        <w:separator/>
      </w:r>
    </w:p>
  </w:endnote>
  <w:endnote w:type="continuationSeparator" w:id="0">
    <w:p w14:paraId="09E37F8E" w14:textId="77777777" w:rsidR="00AA5343" w:rsidRDefault="00AA5343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743" w14:textId="77777777" w:rsidR="00AA5343" w:rsidRDefault="00AA5343" w:rsidP="001F4281">
      <w:r>
        <w:separator/>
      </w:r>
    </w:p>
  </w:footnote>
  <w:footnote w:type="continuationSeparator" w:id="0">
    <w:p w14:paraId="78CF3331" w14:textId="77777777" w:rsidR="00AA5343" w:rsidRDefault="00AA5343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502AF3C2" w:rsidR="001F4281" w:rsidRPr="001F4281" w:rsidRDefault="005E3911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UPLIFT</w:t>
    </w:r>
    <w:r w:rsidR="00E1346B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94FE21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E3911">
      <w:rPr>
        <w:sz w:val="14"/>
        <w:lang w:val="fr-BE"/>
      </w:rPr>
      <w:t>31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10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505F2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7</cp:revision>
  <dcterms:created xsi:type="dcterms:W3CDTF">2025-01-09T14:02:00Z</dcterms:created>
  <dcterms:modified xsi:type="dcterms:W3CDTF">2025-01-09T15:26:00Z</dcterms:modified>
</cp:coreProperties>
</file>