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51F1C90A" w:rsidR="00C70396" w:rsidRPr="00085B85" w:rsidRDefault="00496C72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MONOÏ </w:t>
            </w:r>
            <w:r w:rsidR="000D08A6">
              <w:rPr>
                <w:b/>
                <w:bCs/>
              </w:rPr>
              <w:t>DE TAHITI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53E13CC6" w14:textId="60179602" w:rsidR="00DE25E6" w:rsidRPr="00DE25E6" w:rsidRDefault="00D61ECF" w:rsidP="00DE25E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Hydroxy citronellal, </w:t>
            </w:r>
            <w:r w:rsidR="000D08A6" w:rsidRPr="003510EE">
              <w:rPr>
                <w:sz w:val="16"/>
                <w:szCs w:val="16"/>
                <w:lang w:val="fr-FR"/>
              </w:rPr>
              <w:t>Hexyl cinnamaldehyde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, </w:t>
            </w:r>
            <w:r w:rsidR="000D08A6" w:rsidRPr="003510EE">
              <w:rPr>
                <w:sz w:val="16"/>
                <w:szCs w:val="16"/>
                <w:lang w:val="fr-FR"/>
              </w:rPr>
              <w:t>Linalool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, </w:t>
            </w:r>
            <w:r w:rsidR="000D08A6" w:rsidRPr="003510EE">
              <w:rPr>
                <w:sz w:val="16"/>
                <w:szCs w:val="16"/>
                <w:lang w:val="fr-FR"/>
              </w:rPr>
              <w:t>Hydroxycitronellal-methyl anthranilate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, </w:t>
            </w:r>
            <w:r w:rsidR="000D08A6" w:rsidRPr="003510EE">
              <w:rPr>
                <w:sz w:val="16"/>
                <w:szCs w:val="16"/>
                <w:lang w:val="fr-FR"/>
              </w:rPr>
              <w:t>Benzyl salicylate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, </w:t>
            </w:r>
            <w:r w:rsidR="000D08A6" w:rsidRPr="003510EE">
              <w:rPr>
                <w:sz w:val="16"/>
                <w:szCs w:val="16"/>
                <w:lang w:val="fr-FR"/>
              </w:rPr>
              <w:t>Linalyl acetate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, </w:t>
            </w:r>
            <w:r w:rsidR="000D08A6" w:rsidRPr="003510EE">
              <w:rPr>
                <w:sz w:val="16"/>
                <w:szCs w:val="16"/>
                <w:lang w:val="fr-FR"/>
              </w:rPr>
              <w:t>Geraniol</w:t>
            </w:r>
            <w:r w:rsidR="000D08A6" w:rsidRPr="000D08A6">
              <w:rPr>
                <w:sz w:val="16"/>
                <w:szCs w:val="16"/>
                <w:lang w:val="fr-FR"/>
              </w:rPr>
              <w:t xml:space="preserve">. </w:t>
            </w:r>
            <w:r w:rsidR="000D08A6" w:rsidRPr="000D08A6">
              <w:rPr>
                <w:sz w:val="16"/>
                <w:szCs w:val="16"/>
              </w:rPr>
              <w:t>Peut produire une réaction allergique.</w:t>
            </w: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B5ACD2" w14:textId="53AF2842" w:rsidR="000D08A6" w:rsidRPr="00085B85" w:rsidRDefault="000D08A6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5FDB0397" w14:textId="77777777" w:rsidR="00496C72" w:rsidRPr="00496C72" w:rsidRDefault="00496C72" w:rsidP="00496C7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1A79C49" w14:textId="61D83C60" w:rsidR="000D08A6" w:rsidRPr="00E838AD" w:rsidRDefault="000D08A6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7CDC799" w14:textId="77777777" w:rsidR="000D08A6" w:rsidRPr="0012077E" w:rsidRDefault="000D08A6" w:rsidP="000D08A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C6F13FE" w14:textId="1A21A82D" w:rsidR="000D08A6" w:rsidRDefault="000D08A6" w:rsidP="000D08A6">
            <w:pPr>
              <w:jc w:val="center"/>
              <w:rPr>
                <w:b/>
                <w:bCs/>
                <w:lang w:val="fr-FR"/>
              </w:rPr>
            </w:pPr>
          </w:p>
          <w:p w14:paraId="7C5EE830" w14:textId="41082E7F" w:rsidR="000D08A6" w:rsidRPr="00085B85" w:rsidRDefault="000D08A6" w:rsidP="000D0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MONOÏ DE TAHITI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5FFE6F73" w14:textId="77777777" w:rsidR="000D08A6" w:rsidRPr="00085B85" w:rsidRDefault="000D08A6" w:rsidP="000D08A6">
            <w:pPr>
              <w:jc w:val="center"/>
            </w:pPr>
          </w:p>
          <w:p w14:paraId="3F066BEA" w14:textId="6A56C65C" w:rsidR="000D08A6" w:rsidRPr="00DE25E6" w:rsidRDefault="000D08A6" w:rsidP="000D08A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0D08A6">
              <w:rPr>
                <w:sz w:val="16"/>
                <w:szCs w:val="16"/>
                <w:lang w:val="fr-FR"/>
              </w:rPr>
              <w:t xml:space="preserve">Hydroxy citronellal, </w:t>
            </w:r>
            <w:r w:rsidRPr="003510EE">
              <w:rPr>
                <w:sz w:val="16"/>
                <w:szCs w:val="16"/>
                <w:lang w:val="fr-FR"/>
              </w:rPr>
              <w:t>Hexyl cinnamaldehyde</w:t>
            </w:r>
            <w:r w:rsidRPr="000D08A6">
              <w:rPr>
                <w:sz w:val="16"/>
                <w:szCs w:val="16"/>
                <w:lang w:val="fr-FR"/>
              </w:rPr>
              <w:t xml:space="preserve">, </w:t>
            </w:r>
            <w:r w:rsidRPr="003510EE">
              <w:rPr>
                <w:sz w:val="16"/>
                <w:szCs w:val="16"/>
                <w:lang w:val="fr-FR"/>
              </w:rPr>
              <w:t>Linalool</w:t>
            </w:r>
            <w:r w:rsidRPr="000D08A6">
              <w:rPr>
                <w:sz w:val="16"/>
                <w:szCs w:val="16"/>
                <w:lang w:val="fr-FR"/>
              </w:rPr>
              <w:t xml:space="preserve">, </w:t>
            </w:r>
            <w:r w:rsidRPr="003510EE">
              <w:rPr>
                <w:sz w:val="16"/>
                <w:szCs w:val="16"/>
                <w:lang w:val="fr-FR"/>
              </w:rPr>
              <w:t>Hydroxycitronellal-methyl anthranilate</w:t>
            </w:r>
            <w:r w:rsidRPr="000D08A6">
              <w:rPr>
                <w:sz w:val="16"/>
                <w:szCs w:val="16"/>
                <w:lang w:val="fr-FR"/>
              </w:rPr>
              <w:t xml:space="preserve">, </w:t>
            </w:r>
            <w:r w:rsidRPr="003510EE">
              <w:rPr>
                <w:sz w:val="16"/>
                <w:szCs w:val="16"/>
                <w:lang w:val="fr-FR"/>
              </w:rPr>
              <w:t>Benzyl salicylate</w:t>
            </w:r>
            <w:r w:rsidR="00D94C9E">
              <w:rPr>
                <w:sz w:val="16"/>
                <w:szCs w:val="16"/>
                <w:lang w:val="fr-FR"/>
              </w:rPr>
              <w:t xml:space="preserve">. </w:t>
            </w:r>
            <w:r w:rsidRPr="000D08A6">
              <w:rPr>
                <w:sz w:val="16"/>
                <w:szCs w:val="16"/>
              </w:rPr>
              <w:t>Peut produire une réaction allergique.</w:t>
            </w:r>
          </w:p>
          <w:p w14:paraId="364A43B2" w14:textId="77777777" w:rsidR="00D94C9E" w:rsidRDefault="00D94C9E" w:rsidP="000D08A6">
            <w:pPr>
              <w:rPr>
                <w:sz w:val="16"/>
                <w:szCs w:val="16"/>
              </w:rPr>
            </w:pPr>
          </w:p>
          <w:p w14:paraId="46607FAF" w14:textId="1E04B96D" w:rsidR="000D08A6" w:rsidRDefault="000D08A6" w:rsidP="000D0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43C15697" w14:textId="5898683B" w:rsidR="00D94C9E" w:rsidRPr="00085B85" w:rsidRDefault="00D94C9E" w:rsidP="000D0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</w:t>
            </w:r>
          </w:p>
          <w:p w14:paraId="7566F6BF" w14:textId="77777777" w:rsidR="000D08A6" w:rsidRDefault="000D08A6" w:rsidP="000D08A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A14F43A" w14:textId="77777777" w:rsidR="000D08A6" w:rsidRPr="00E838AD" w:rsidRDefault="000D08A6" w:rsidP="000D08A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0EA0BD7" w14:textId="77777777" w:rsidR="000D08A6" w:rsidRDefault="000D08A6" w:rsidP="000D08A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0D08A6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955E8"/>
    <w:rsid w:val="000D08A6"/>
    <w:rsid w:val="000E3DDB"/>
    <w:rsid w:val="0012077E"/>
    <w:rsid w:val="001C033F"/>
    <w:rsid w:val="002D009C"/>
    <w:rsid w:val="00305D69"/>
    <w:rsid w:val="003D7884"/>
    <w:rsid w:val="00493A58"/>
    <w:rsid w:val="00496C72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C70396"/>
    <w:rsid w:val="00CA57EB"/>
    <w:rsid w:val="00CB4E4B"/>
    <w:rsid w:val="00D26B22"/>
    <w:rsid w:val="00D61ECF"/>
    <w:rsid w:val="00D94C9E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2024-02-27T17:10:00Z</dcterms:created>
  <dcterms:modified xsi:type="dcterms:W3CDTF">2024-02-27T17:15:00Z</dcterms:modified>
</cp:coreProperties>
</file>